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hanging="0" w:right="5726"/>
        <w:jc w:val="center"/>
        <w:rPr>
          <w:sz w:val="26"/>
          <w:szCs w:val="26"/>
        </w:rPr>
      </w:pPr>
      <w:r>
        <w:rPr/>
        <w:drawing>
          <wp:inline distT="0" distB="0" distL="0" distR="0">
            <wp:extent cx="579755" cy="67754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81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25"/>
        <w:gridCol w:w="623"/>
        <w:gridCol w:w="1279"/>
        <w:gridCol w:w="283"/>
        <w:gridCol w:w="1520"/>
        <w:gridCol w:w="1187"/>
        <w:gridCol w:w="4663"/>
      </w:tblGrid>
      <w:tr>
        <w:trPr/>
        <w:tc>
          <w:tcPr>
            <w:tcW w:w="3930" w:type="dxa"/>
            <w:gridSpan w:val="5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280" w:before="120" w:after="0"/>
              <w:ind w:hanging="0" w:left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b/>
                <w:bCs/>
                <w:spacing w:val="20"/>
              </w:rPr>
              <w:t>МИНИСТЕРСТВО</w:t>
            </w:r>
          </w:p>
          <w:p>
            <w:pPr>
              <w:pStyle w:val="Normal"/>
              <w:widowControl w:val="false"/>
              <w:spacing w:lineRule="exact" w:line="28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pacing w:val="20"/>
              </w:rPr>
              <w:t>ОБРАЗОВАНИЯ</w:t>
            </w:r>
          </w:p>
          <w:p>
            <w:pPr>
              <w:pStyle w:val="Normal"/>
              <w:widowControl w:val="false"/>
              <w:spacing w:lineRule="exact" w:line="280"/>
              <w:jc w:val="center"/>
              <w:rPr>
                <w:rFonts w:ascii="Times New Roman" w:hAnsi="Times New Roman"/>
              </w:rPr>
            </w:pPr>
            <w:r>
              <w:rPr>
                <w:rFonts w:cs="NTTimes/Cyrillic"/>
                <w:b/>
                <w:bCs/>
                <w:spacing w:val="20"/>
              </w:rPr>
              <w:t>ПРИМОРСКОГО КРАЯ</w:t>
            </w:r>
          </w:p>
          <w:p>
            <w:pPr>
              <w:pStyle w:val="Normal"/>
              <w:widowControl w:val="false"/>
              <w:spacing w:lineRule="exact" w:line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exact" w: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Светланская, 22, г. Владивосток, 690110</w:t>
            </w:r>
          </w:p>
          <w:p>
            <w:pPr>
              <w:pStyle w:val="Normal"/>
              <w:widowControl w:val="false"/>
              <w:spacing w:lineRule="exact" w:line="200"/>
              <w:ind w:hanging="0"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(423)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240-28-04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minobrpk</w:t>
            </w:r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primorsky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663" w:type="dxa"/>
            <w:vMerge w:val="restart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</w:tc>
      </w:tr>
      <w:tr>
        <w:trPr>
          <w:trHeight w:val="284" w:hRule="atLeast"/>
        </w:trPr>
        <w:tc>
          <w:tcPr>
            <w:tcW w:w="22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pacing w:val="60"/>
                <w:sz w:val="20"/>
                <w:szCs w:val="20"/>
              </w:rPr>
            </w:pPr>
            <w:r>
              <w:rPr>
                <w:spacing w:val="60"/>
                <w:sz w:val="20"/>
                <w:szCs w:val="20"/>
              </w:rPr>
            </w:r>
          </w:p>
        </w:tc>
        <w:tc>
          <w:tcPr>
            <w:tcW w:w="1902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10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ind w:hanging="0"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8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6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84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hanging="0" w:left="-107" w:right="-10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№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spacing w:before="180" w:after="0"/>
              <w:ind w:hanging="0" w:left="-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10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6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1" w:hRule="atLeast"/>
        </w:trPr>
        <w:tc>
          <w:tcPr>
            <w:tcW w:w="5117" w:type="dxa"/>
            <w:gridSpan w:val="6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63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рамках подготовки к проведению ГИА-9 в 2026 году информируем вас о следующем. </w:t>
      </w:r>
    </w:p>
    <w:p>
      <w:pPr>
        <w:pStyle w:val="Normal"/>
        <w:spacing w:lineRule="auto" w:line="36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1. О неявке на экзамен.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Информация об участниках ГИА-9, </w:t>
      </w:r>
      <w:r>
        <w:rPr>
          <w:color w:val="000000"/>
          <w:sz w:val="28"/>
          <w:szCs w:val="28"/>
          <w:u w:val="none"/>
        </w:rPr>
        <w:t xml:space="preserve">не явившихся </w:t>
      </w:r>
      <w:r>
        <w:rPr>
          <w:color w:val="000000"/>
          <w:sz w:val="28"/>
          <w:szCs w:val="28"/>
        </w:rPr>
        <w:t xml:space="preserve">на экзамен </w:t>
      </w:r>
      <w:r>
        <w:rPr>
          <w:color w:val="000000"/>
          <w:sz w:val="28"/>
          <w:szCs w:val="28"/>
          <w:u w:val="none"/>
        </w:rPr>
        <w:t>п</w:t>
      </w:r>
      <w:r>
        <w:rPr>
          <w:b/>
          <w:bCs/>
          <w:color w:val="000000"/>
          <w:sz w:val="28"/>
          <w:szCs w:val="28"/>
          <w:u w:val="none"/>
        </w:rPr>
        <w:t>о какой-либо причине</w:t>
      </w:r>
      <w:r>
        <w:rPr>
          <w:color w:val="000000"/>
          <w:sz w:val="28"/>
          <w:szCs w:val="28"/>
          <w:u w:val="none"/>
        </w:rPr>
        <w:t xml:space="preserve">; участниках, </w:t>
      </w:r>
      <w:r>
        <w:rPr>
          <w:b/>
          <w:bCs/>
          <w:color w:val="000000"/>
          <w:sz w:val="28"/>
          <w:szCs w:val="28"/>
          <w:u w:val="none"/>
        </w:rPr>
        <w:t>досрочно завершивших экзамен</w:t>
      </w:r>
      <w:r>
        <w:rPr>
          <w:color w:val="000000"/>
          <w:sz w:val="28"/>
          <w:szCs w:val="28"/>
          <w:u w:val="none"/>
        </w:rPr>
        <w:t xml:space="preserve">; участниках, </w:t>
      </w:r>
      <w:r>
        <w:rPr>
          <w:b/>
          <w:bCs/>
          <w:color w:val="000000"/>
          <w:sz w:val="28"/>
          <w:szCs w:val="28"/>
          <w:u w:val="none"/>
        </w:rPr>
        <w:t xml:space="preserve">подавших апелляцию на процедуру проведения экзамена </w:t>
      </w:r>
      <w:r>
        <w:rPr>
          <w:color w:val="000000"/>
          <w:sz w:val="28"/>
          <w:szCs w:val="28"/>
        </w:rPr>
        <w:t xml:space="preserve">должна направляться в ГЭК ПК ГИА-9 (по защищенному каналу связи на имя секретаря ГЭК ПК Горностаевой Ю.В.) </w:t>
      </w:r>
      <w:r>
        <w:rPr>
          <w:b/>
          <w:color w:val="000000"/>
          <w:sz w:val="28"/>
          <w:szCs w:val="28"/>
          <w:u w:val="single"/>
        </w:rPr>
        <w:t>не позднее</w:t>
      </w:r>
      <w:r>
        <w:rPr>
          <w:b/>
          <w:color w:val="000000"/>
          <w:sz w:val="28"/>
          <w:szCs w:val="28"/>
        </w:rPr>
        <w:t xml:space="preserve"> 12.00 </w:t>
      </w:r>
      <w:r>
        <w:rPr>
          <w:b w:val="false"/>
          <w:bCs w:val="false"/>
          <w:color w:val="000000"/>
          <w:sz w:val="28"/>
          <w:szCs w:val="28"/>
        </w:rPr>
        <w:t>следующего за экзаменом дня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форме: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ОБРАЗЕЦ*</w:t>
      </w:r>
    </w:p>
    <w:tbl>
      <w:tblPr>
        <w:tblStyle w:val="a5"/>
        <w:tblW w:w="10618" w:type="dxa"/>
        <w:jc w:val="left"/>
        <w:tblInd w:w="-5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63"/>
        <w:gridCol w:w="2475"/>
        <w:gridCol w:w="923"/>
        <w:gridCol w:w="1135"/>
        <w:gridCol w:w="2143"/>
        <w:gridCol w:w="1243"/>
        <w:gridCol w:w="1435"/>
      </w:tblGrid>
      <w:tr>
        <w:trPr/>
        <w:tc>
          <w:tcPr>
            <w:tcW w:w="1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>ФИО участника экзамена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color w:themeColor="text1" w:val="000000"/>
                <w:kern w:val="0"/>
                <w:sz w:val="18"/>
                <w:szCs w:val="18"/>
                <w:u w:val="single"/>
                <w:lang w:val="ru-RU" w:bidi="ar-SA"/>
              </w:rPr>
              <w:t>(полностью</w:t>
            </w:r>
            <w:r>
              <w:rPr>
                <w:b/>
                <w:i/>
                <w:color w:themeColor="text1" w:val="000000"/>
                <w:kern w:val="0"/>
                <w:sz w:val="18"/>
                <w:szCs w:val="18"/>
                <w:lang w:val="ru-RU" w:bidi="ar-SA"/>
              </w:rPr>
              <w:t>)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>ОО, в которой обучается участник экзамена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color w:themeColor="text1" w:val="000000"/>
                <w:kern w:val="0"/>
                <w:sz w:val="18"/>
                <w:szCs w:val="18"/>
                <w:u w:val="single"/>
                <w:lang w:val="ru-RU" w:bidi="ar-SA"/>
              </w:rPr>
              <w:t>(полностью)</w:t>
            </w:r>
          </w:p>
        </w:tc>
        <w:tc>
          <w:tcPr>
            <w:tcW w:w="9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 xml:space="preserve">Экзамен </w:t>
              <w:br/>
            </w:r>
            <w:r>
              <w:rPr>
                <w:b/>
                <w:bCs/>
                <w:i/>
                <w:iCs/>
                <w:color w:themeColor="text1" w:val="000000"/>
                <w:kern w:val="0"/>
                <w:sz w:val="18"/>
                <w:szCs w:val="18"/>
                <w:lang w:val="ru-RU" w:bidi="ar-SA"/>
              </w:rPr>
              <w:t>(форма ГИА-9)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>Дата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>экзамена</w:t>
            </w:r>
          </w:p>
        </w:tc>
        <w:tc>
          <w:tcPr>
            <w:tcW w:w="21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 xml:space="preserve">Код ППЭ </w:t>
              <w:br/>
              <w:t xml:space="preserve">(в скобках </w:t>
            </w:r>
            <w:r>
              <w:rPr>
                <w:b/>
                <w:i/>
                <w:iCs/>
                <w:color w:themeColor="text1" w:val="000000"/>
                <w:kern w:val="0"/>
                <w:sz w:val="18"/>
                <w:szCs w:val="18"/>
                <w:u w:val="single"/>
                <w:lang w:val="ru-RU" w:bidi="ar-SA"/>
              </w:rPr>
              <w:t>полное</w:t>
            </w: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 xml:space="preserve"> наименование ОО, на базе которой размещен ППЭ)</w:t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>Причина неявки, досрочного завершения, пр.</w:t>
            </w:r>
            <w:r>
              <w:rPr>
                <w:b/>
                <w:color w:themeColor="text1" w:val="000000"/>
                <w:kern w:val="0"/>
                <w:sz w:val="18"/>
                <w:szCs w:val="18"/>
                <w:lang w:val="ru-RU" w:bidi="ar-SA"/>
              </w:rPr>
              <w:t>**</w:t>
            </w:r>
          </w:p>
        </w:tc>
        <w:tc>
          <w:tcPr>
            <w:tcW w:w="14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>Подтверж-дающие документы</w:t>
            </w:r>
          </w:p>
        </w:tc>
      </w:tr>
      <w:tr>
        <w:trPr>
          <w:trHeight w:val="2971" w:hRule="atLeast"/>
        </w:trPr>
        <w:tc>
          <w:tcPr>
            <w:tcW w:w="1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 xml:space="preserve">Иванов </w:t>
              <w:br/>
              <w:t>Иван Иванович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Муниципальное общеобразовательное бюджетное учреждение «Средняя общеобразовательная школа № 1» Арсеньевского городского округа</w:t>
            </w:r>
          </w:p>
        </w:tc>
        <w:tc>
          <w:tcPr>
            <w:tcW w:w="9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color w:themeColor="text1" w:val="000000"/>
                <w:kern w:val="0"/>
                <w:sz w:val="18"/>
                <w:szCs w:val="18"/>
                <w:lang w:val="ru-RU" w:bidi="ar-SA"/>
              </w:rPr>
              <w:t>Химия (ОГЭ)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09.06.2026</w:t>
            </w:r>
          </w:p>
        </w:tc>
        <w:tc>
          <w:tcPr>
            <w:tcW w:w="21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555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(</w:t>
            </w:r>
            <w:r>
              <w:rPr>
                <w:rFonts w:eastAsia="Calibri" w:cs="Times New Roman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Муниципальное общеобразовательное бюджетное учреждение «Средняя общеобразовательная школа № 5» Арсеньевского городского округа</w:t>
            </w:r>
            <w:r>
              <w:rPr>
                <w:color w:themeColor="text1" w:val="000000"/>
                <w:sz w:val="18"/>
                <w:szCs w:val="18"/>
              </w:rPr>
              <w:t>)</w:t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Болезнь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 xml:space="preserve">Участие в </w:t>
            </w:r>
            <w:r>
              <w:rPr>
                <w:rFonts w:eastAsia="Calibri" w:cs="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Спартакиаде молодежи  России  по баскетболу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4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  <w:lang w:val="ru-RU" w:eastAsia="en-US" w:bidi="ar-SA"/>
              </w:rPr>
              <w:t>Справка ВК КГБУЗ «Арсеньевская центральная больница»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val="ru-RU" w:eastAsia="en-US" w:bidi="ar-SA"/>
              </w:rPr>
              <w:t>от 09.06.2026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color w:val="000000"/>
                <w:kern w:val="0"/>
                <w:sz w:val="18"/>
                <w:szCs w:val="18"/>
                <w:lang w:val="ru-RU" w:eastAsia="en-US" w:bidi="ar-SA"/>
              </w:rPr>
              <w:t xml:space="preserve">№ </w:t>
            </w:r>
            <w:r>
              <w:rPr>
                <w:color w:val="000000"/>
                <w:kern w:val="0"/>
                <w:sz w:val="18"/>
                <w:szCs w:val="18"/>
                <w:lang w:val="ru-RU" w:eastAsia="en-US" w:bidi="ar-SA"/>
              </w:rPr>
              <w:t>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color w:val="000000"/>
                <w:kern w:val="0"/>
                <w:sz w:val="18"/>
                <w:szCs w:val="18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color w:val="000000"/>
                <w:kern w:val="0"/>
                <w:sz w:val="18"/>
                <w:szCs w:val="18"/>
                <w:lang w:val="ru-RU" w:eastAsia="en-US" w:bidi="ar-SA"/>
              </w:rPr>
              <w:t xml:space="preserve">Справка Приморской  Федерации спорта по баскетболу от 07.05.2026 </w:t>
              <w:br/>
              <w:t>№ 10</w:t>
            </w:r>
          </w:p>
        </w:tc>
      </w:tr>
    </w:tbl>
    <w:p>
      <w:pPr>
        <w:pStyle w:val="Normal"/>
        <w:spacing w:lineRule="auto" w:line="360"/>
        <w:ind w:hanging="0"/>
        <w:jc w:val="left"/>
        <w:rPr>
          <w:sz w:val="18"/>
          <w:szCs w:val="18"/>
        </w:rPr>
      </w:pPr>
      <w:r>
        <w:rPr>
          <w:b/>
          <w:i/>
          <w:color w:themeColor="text1" w:val="000000"/>
          <w:sz w:val="18"/>
          <w:szCs w:val="18"/>
          <w:shd w:fill="auto" w:val="clear"/>
        </w:rPr>
        <w:t>*Просьба заполнять в соответствии с образцом.</w:t>
      </w:r>
      <w:r>
        <w:rPr>
          <w:b/>
          <w:color w:themeColor="text1" w:val="000000"/>
          <w:sz w:val="18"/>
          <w:szCs w:val="18"/>
        </w:rPr>
        <w:t xml:space="preserve">               **</w:t>
      </w:r>
      <w:r>
        <w:rPr>
          <w:b/>
          <w:i/>
          <w:color w:themeColor="text1" w:val="000000"/>
          <w:sz w:val="18"/>
          <w:szCs w:val="18"/>
        </w:rPr>
        <w:t>С приложением сканов подтверждающих документов.</w:t>
      </w:r>
    </w:p>
    <w:p>
      <w:pPr>
        <w:pStyle w:val="Normal"/>
        <w:spacing w:lineRule="auto" w:line="360"/>
        <w:ind w:hanging="0"/>
        <w:jc w:val="both"/>
        <w:rPr>
          <w:b/>
          <w:i/>
          <w:i/>
          <w:color w:themeColor="text1" w:val="000000"/>
          <w:sz w:val="20"/>
          <w:szCs w:val="20"/>
          <w:highlight w:val="none"/>
          <w:shd w:fill="auto" w:val="clear"/>
        </w:rPr>
      </w:pPr>
      <w:r>
        <w:rPr>
          <w:b/>
          <w:i/>
          <w:color w:themeColor="text1" w:val="000000"/>
          <w:sz w:val="20"/>
          <w:szCs w:val="20"/>
          <w:shd w:fill="auto" w:val="clear"/>
        </w:rPr>
      </w:r>
    </w:p>
    <w:p>
      <w:pPr>
        <w:pStyle w:val="Normal"/>
        <w:spacing w:lineRule="auto" w:line="360"/>
        <w:ind w:hanging="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ab/>
        <w:t xml:space="preserve">Обращаем ваше внимание, что уважительность/неуважительность неявки участника ГИА-9 на экзамен </w:t>
      </w:r>
      <w:r>
        <w:rPr>
          <w:b/>
          <w:bCs/>
          <w:color w:themeColor="text1" w:val="000000"/>
          <w:sz w:val="28"/>
          <w:szCs w:val="28"/>
        </w:rPr>
        <w:t>определяет</w:t>
      </w:r>
      <w:r>
        <w:rPr>
          <w:color w:themeColor="text1" w:val="000000"/>
          <w:sz w:val="28"/>
          <w:szCs w:val="28"/>
        </w:rPr>
        <w:t xml:space="preserve"> ГЭК ПК.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Сопроводительное письмо  МОУО должно быть подписано руководителем МОУО, содержать реквизиты (в скане), </w:t>
      </w:r>
      <w:r>
        <w:rPr>
          <w:b/>
          <w:bCs/>
          <w:sz w:val="28"/>
          <w:szCs w:val="28"/>
        </w:rPr>
        <w:t xml:space="preserve">продублировано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(в т.ч. таблица)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none"/>
        </w:rPr>
        <w:t xml:space="preserve">в </w:t>
      </w:r>
      <w:r>
        <w:rPr>
          <w:b/>
          <w:sz w:val="28"/>
          <w:szCs w:val="28"/>
          <w:u w:val="none"/>
          <w:lang w:val="en-US"/>
        </w:rPr>
        <w:t xml:space="preserve">WORDe </w:t>
      </w:r>
      <w:r>
        <w:rPr>
          <w:b w:val="false"/>
          <w:bCs w:val="false"/>
          <w:sz w:val="28"/>
          <w:szCs w:val="28"/>
          <w:u w:val="none"/>
          <w:lang w:val="en-US"/>
        </w:rPr>
        <w:t>с приложением сканов подтверждающих документов (все документы отдельными подписанными файлами в архиве) с информацией о назначении экзамена на резервный день.</w:t>
      </w:r>
    </w:p>
    <w:p>
      <w:pPr>
        <w:pStyle w:val="Normal"/>
        <w:spacing w:lineRule="auto" w:line="360"/>
        <w:ind w:firstLine="709"/>
        <w:jc w:val="both"/>
        <w:rPr>
          <w:b/>
          <w:color w:themeColor="text1" w:val="000000"/>
          <w:sz w:val="28"/>
          <w:szCs w:val="28"/>
          <w:u w:val="single"/>
        </w:rPr>
      </w:pPr>
      <w:r>
        <w:rPr>
          <w:b/>
          <w:bCs/>
          <w:color w:themeColor="text1" w:val="000000"/>
          <w:sz w:val="28"/>
          <w:szCs w:val="28"/>
        </w:rPr>
        <w:t xml:space="preserve">2. Об </w:t>
      </w:r>
      <w:r>
        <w:rPr>
          <w:b/>
          <w:bCs/>
          <w:color w:val="000000"/>
          <w:sz w:val="28"/>
          <w:szCs w:val="28"/>
          <w:u w:val="none"/>
        </w:rPr>
        <w:t>участниках, удаленных с экзамена.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ГЭК ПК ГИА-9 (по защищенному каналу связи на имя секретаря ГЭК ПК Горностаевой Ю.В.) </w:t>
      </w:r>
      <w:r>
        <w:rPr>
          <w:b/>
          <w:bCs/>
          <w:color w:val="000000"/>
          <w:sz w:val="28"/>
          <w:szCs w:val="28"/>
          <w:u w:val="single"/>
        </w:rPr>
        <w:t>не позднее</w:t>
      </w:r>
      <w:r>
        <w:rPr>
          <w:b/>
          <w:bCs/>
          <w:color w:val="000000"/>
          <w:sz w:val="28"/>
          <w:szCs w:val="28"/>
        </w:rPr>
        <w:t xml:space="preserve"> 12.00 </w:t>
      </w:r>
      <w:r>
        <w:rPr>
          <w:b w:val="false"/>
          <w:bCs w:val="false"/>
          <w:color w:val="000000"/>
          <w:sz w:val="28"/>
          <w:szCs w:val="28"/>
        </w:rPr>
        <w:t>следующего за экзаменом дня</w:t>
      </w:r>
      <w:r>
        <w:rPr>
          <w:color w:val="000000"/>
          <w:sz w:val="28"/>
          <w:szCs w:val="28"/>
        </w:rPr>
        <w:t xml:space="preserve"> направляется пакет </w:t>
      </w:r>
      <w:r>
        <w:rPr>
          <w:color w:val="000000"/>
          <w:sz w:val="28"/>
          <w:szCs w:val="28"/>
        </w:rPr>
        <w:t xml:space="preserve">копий </w:t>
      </w:r>
      <w:r>
        <w:rPr>
          <w:color w:val="000000"/>
          <w:sz w:val="28"/>
          <w:szCs w:val="28"/>
        </w:rPr>
        <w:t>документов (в архиве с отдельными файлами документов), содержащий: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об удалении (с уведомлением о времени и месте составления протокола об административном нарушении);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сопроводительн</w:t>
      </w:r>
      <w:r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лист к акту;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проведения ГИА-9 в аудитории;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 работников ППЭ и общественных наблюдателей;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пояснительны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записк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лиц, ставших очевидцами нарушения;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</w:t>
      </w:r>
      <w:r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записк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удаляемого участника ГИА-9;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объяснительны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записк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уполномоченного представителя ГЭК ПК, руководителя ППЭ;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технических устройствах, имеющихся у удаляемого участника ГИА-9.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прилагается </w:t>
      </w:r>
      <w:r>
        <w:rPr>
          <w:color w:val="000000"/>
          <w:sz w:val="28"/>
          <w:szCs w:val="28"/>
        </w:rPr>
        <w:t>таблица в WORDe, содержащая сведения об удаляемом участнике:</w:t>
      </w:r>
    </w:p>
    <w:tbl>
      <w:tblPr>
        <w:tblStyle w:val="1"/>
        <w:tblW w:w="9514" w:type="dxa"/>
        <w:jc w:val="left"/>
        <w:tblInd w:w="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86"/>
        <w:gridCol w:w="3739"/>
        <w:gridCol w:w="1329"/>
        <w:gridCol w:w="1960"/>
      </w:tblGrid>
      <w:tr>
        <w:trPr>
          <w:trHeight w:val="352" w:hRule="atLeast"/>
        </w:trPr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hd w:val="clear" w:fill="FFFFFF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18"/>
                <w:szCs w:val="18"/>
                <w:lang w:val="ru-RU" w:eastAsia="en-US" w:bidi="ar-SA"/>
              </w:rPr>
              <w:t>ФИО</w:t>
            </w:r>
          </w:p>
          <w:p>
            <w:pPr>
              <w:pStyle w:val="Normal"/>
              <w:widowControl/>
              <w:shd w:val="clear" w:fill="FFFFFF"/>
              <w:spacing w:lineRule="auto" w:line="240" w:before="0" w:after="0"/>
              <w:jc w:val="center"/>
              <w:rPr>
                <w:rFonts w:eastAsia="Calibri" w:cs="Times New Roman"/>
                <w:b/>
                <w:bCs/>
                <w:i/>
                <w:i/>
                <w:iCs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ru-RU" w:eastAsia="en-US" w:bidi="ar-SA"/>
              </w:rPr>
              <w:t>(полностью)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hd w:val="clear" w:fill="FFFFFF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ОО, </w:t>
            </w:r>
            <w:r>
              <w:rPr>
                <w:b/>
                <w:bCs/>
                <w:color w:val="000000"/>
                <w:sz w:val="18"/>
                <w:szCs w:val="18"/>
              </w:rPr>
              <w:t>в которой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обучается участник ГИА-9</w:t>
            </w:r>
          </w:p>
          <w:p>
            <w:pPr>
              <w:pStyle w:val="Normal"/>
              <w:widowControl/>
              <w:shd w:val="clear" w:fill="FFFFFF"/>
              <w:spacing w:lineRule="auto" w:line="240" w:before="0" w:after="0"/>
              <w:jc w:val="center"/>
              <w:rPr>
                <w:b/>
                <w:bCs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(полностью)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hd w:val="clear" w:fill="FFFFFF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Экзамен</w:t>
            </w:r>
          </w:p>
          <w:p>
            <w:pPr>
              <w:pStyle w:val="Normal"/>
              <w:widowControl/>
              <w:shd w:val="clear" w:fill="FFFFFF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hd w:val="clear" w:fill="FFFFFF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Причина </w:t>
            </w:r>
            <w:r>
              <w:rPr>
                <w:b/>
                <w:bCs/>
                <w:color w:val="000000"/>
                <w:sz w:val="18"/>
                <w:szCs w:val="18"/>
              </w:rPr>
              <w:t>удаления</w:t>
            </w:r>
          </w:p>
        </w:tc>
      </w:tr>
      <w:tr>
        <w:trPr>
          <w:trHeight w:val="352" w:hRule="atLeast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hd w:val="clear" w:fill="FFFFFF"/>
              <w:tabs>
                <w:tab w:val="clear" w:pos="708"/>
                <w:tab w:val="right" w:pos="9360" w:leader="none"/>
              </w:tabs>
              <w:spacing w:lineRule="auto" w:line="240"/>
              <w:ind w:hanging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hd w:val="clear" w:fill="FFFFFF"/>
              <w:tabs>
                <w:tab w:val="clear" w:pos="708"/>
                <w:tab w:val="right" w:pos="9360" w:leader="none"/>
              </w:tabs>
              <w:spacing w:lineRule="auto" w:line="240"/>
              <w:ind w:hanging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hd w:val="clear" w:fill="FFFFFF"/>
              <w:tabs>
                <w:tab w:val="clear" w:pos="708"/>
                <w:tab w:val="right" w:pos="9360" w:leader="none"/>
              </w:tabs>
              <w:spacing w:lineRule="auto" w:line="240"/>
              <w:ind w:hanging="0"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hd w:val="clear" w:fill="FFFFFF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Обращаем ваше внимание, что фото технических устройств, шпаргалок, сканы паспортов удаляемых участников ГИА-9 в ГЭК ПК направлять </w:t>
      </w:r>
      <w:r>
        <w:rPr>
          <w:b/>
          <w:bCs/>
          <w:color w:val="000000"/>
          <w:sz w:val="28"/>
          <w:szCs w:val="28"/>
        </w:rPr>
        <w:t>не нужно.</w:t>
      </w:r>
    </w:p>
    <w:p>
      <w:pPr>
        <w:pStyle w:val="Normal"/>
        <w:spacing w:lineRule="auto" w:line="360"/>
        <w:ind w:firstLine="709"/>
        <w:jc w:val="both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О</w:t>
      </w:r>
      <w:r>
        <w:rPr>
          <w:b w:val="false"/>
          <w:bCs w:val="false"/>
          <w:color w:val="000000"/>
          <w:sz w:val="28"/>
          <w:szCs w:val="28"/>
        </w:rPr>
        <w:t xml:space="preserve">собое внимание </w:t>
      </w:r>
      <w:r>
        <w:rPr>
          <w:b w:val="false"/>
          <w:bCs w:val="false"/>
          <w:color w:val="000000"/>
          <w:sz w:val="28"/>
          <w:szCs w:val="28"/>
        </w:rPr>
        <w:t>п</w:t>
      </w:r>
      <w:r>
        <w:rPr>
          <w:b w:val="false"/>
          <w:bCs w:val="false"/>
          <w:color w:val="000000"/>
          <w:sz w:val="28"/>
          <w:szCs w:val="28"/>
        </w:rPr>
        <w:t xml:space="preserve">росим уделить информированию участников ГИА-9 о причинах для досрочного завершения экзамена, причинах, </w:t>
      </w:r>
      <w:r>
        <w:rPr>
          <w:b w:val="false"/>
          <w:bCs w:val="false"/>
          <w:color w:val="000000"/>
          <w:sz w:val="28"/>
          <w:szCs w:val="28"/>
        </w:rPr>
        <w:t>являющихся основанием</w:t>
      </w:r>
      <w:r>
        <w:rPr>
          <w:b w:val="false"/>
          <w:bCs w:val="false"/>
          <w:color w:val="000000"/>
          <w:sz w:val="28"/>
          <w:szCs w:val="28"/>
        </w:rPr>
        <w:t xml:space="preserve"> для удаления участника ГИА-9 с экзамена, порядке подачи апелляции о нарушении процедуры проведения экзамена.</w:t>
      </w:r>
    </w:p>
    <w:p>
      <w:pPr>
        <w:pStyle w:val="Normal"/>
        <w:spacing w:lineRule="auto" w:line="36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 присутствии представителей СМИ в ППЭ.</w:t>
      </w:r>
    </w:p>
    <w:p>
      <w:pPr>
        <w:pStyle w:val="Normal"/>
        <w:spacing w:lineRule="auto" w:line="360"/>
        <w:ind w:firstLine="709"/>
        <w:jc w:val="both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Аккредитованные представители СМИ могут присутствовать в ППЭ в день проведения экзамена только до момента вскрытия участниками ГИА индивидуальных комплектов экзаменационных материалов (ЭМ) или до момента начала печати ЭМ.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Аккредитацию СМИ на освещение проведения ГИА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в 2026 году на территории Приморского края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осуществляет министерство образования Приморского края (далее – министерство). </w:t>
      </w:r>
    </w:p>
    <w:p>
      <w:pPr>
        <w:pStyle w:val="Normal"/>
        <w:spacing w:lineRule="auto" w:line="36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Статус аккредитованного представителя СМИ подтверждается удостоверением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(оригинал)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выданным министерством (б</w:t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shd w:fill="auto" w:val="clear"/>
          <w:lang w:val="ru-RU" w:eastAsia="ru-RU" w:bidi="ar-SA"/>
        </w:rPr>
        <w:t>ез документа, удостоверяющего личность,  удостоверение недействительно</w:t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shd w:fill="auto" w:val="clear"/>
          <w:lang w:val="ru-RU" w:eastAsia="ru-RU" w:bidi="ar-SA"/>
        </w:rPr>
        <w:t>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eastAsia="Times New Roman" w:cs="Times New Roman"/>
          <w:b w:val="false"/>
          <w:bCs w:val="false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shd w:fill="auto" w:val="clear"/>
          <w:lang w:val="ru-RU" w:eastAsia="ru-RU" w:bidi="ar-SA"/>
        </w:rPr>
        <w:t xml:space="preserve">Обращаем ваше внимание, что пропуск лиц, не имеющих удостоверения аккредитованного представителя СМИ, в ППЭ </w:t>
      </w:r>
      <w:r>
        <w:rPr>
          <w:rFonts w:eastAsia="Times New Roman" w:cs="Times New Roman"/>
          <w:b/>
          <w:bCs/>
          <w:kern w:val="0"/>
          <w:sz w:val="28"/>
          <w:szCs w:val="28"/>
          <w:shd w:fill="auto" w:val="clear"/>
          <w:lang w:val="ru-RU" w:eastAsia="ru-RU" w:bidi="ar-SA"/>
        </w:rPr>
        <w:t>категорически запрещается.</w:t>
      </w:r>
    </w:p>
    <w:p>
      <w:pPr>
        <w:pStyle w:val="Normal"/>
        <w:spacing w:lineRule="auto" w:line="36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Приморского края                                                А.Ю. Меховская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Горностаева Юлия Викторовна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8 (423) 240-21-38</w:t>
      </w:r>
    </w:p>
    <w:sectPr>
      <w:type w:val="nextPage"/>
      <w:pgSz w:w="11906" w:h="16838"/>
      <w:pgMar w:left="1701" w:right="850" w:gutter="0" w:header="0" w:top="729" w:footer="0" w:bottom="11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359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7359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73595"/>
    <w:pPr/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330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LibreOffice/25.2.6.2$Linux_X86_64 LibreOffice_project/520$Build-2</Application>
  <AppVersion>15.0000</AppVersion>
  <Pages>3</Pages>
  <Words>516</Words>
  <Characters>3633</Characters>
  <CharactersWithSpaces>4161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2020-01-15T05:56:00Z</dcterms:created>
  <dc:creator>Горностаева Юлия Викторовна</dc:creator>
  <dc:description/>
  <dc:language>ru-RU</dc:language>
  <cp:lastModifiedBy/>
  <dcterms:modified xsi:type="dcterms:W3CDTF">2026-05-26T19:04:18Z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